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rPr>
          <w:rFonts w:ascii="Arial" w:cs="Arial" w:eastAsia="Arial" w:hAnsi="Arial"/>
          <w:b/>
          <w:bCs/>
          <w:sz w:val="28"/>
          <w:szCs w:val="28"/>
        </w:rPr>
      </w:pPr>
      <w:r>
        <w:t xml:space="preserve">Contract Review Checklist</w:t>
      </w:r>
    </w:p>
    <w:p>
      <w:pPr>
        <w:spacing w:after="240"/>
        <w:rPr>
          <w:rFonts w:ascii="Arial" w:cs="Arial" w:eastAsia="Arial" w:hAnsi="Arial"/>
          <w:sz w:val="24"/>
          <w:szCs w:val="24"/>
        </w:rPr>
      </w:pPr>
      <w:r>
        <w:t xml:space="preserve">Use this checklist to review your construction contract clause by clause before signing. Every item here is negotiable. Having your attorney review the contract is essential, but understanding what to look for yourself makes you a more effective advocate for your own interests.</w:t>
      </w:r>
    </w:p>
    <w:p>
      <w:pPr>
        <w:spacing w:after="120"/>
        <w:rPr>
          <w:rFonts w:ascii="Arial" w:cs="Arial" w:eastAsia="Arial" w:hAnsi="Arial"/>
          <w:sz w:val="24"/>
          <w:szCs w:val="24"/>
        </w:rPr>
      </w:pPr>
      <w:r>
        <w:t xml:space="preserve">Project Title: _____________________________________________________</w:t>
      </w:r>
    </w:p>
    <w:p>
      <w:pPr>
        <w:spacing w:after="240"/>
        <w:rPr>
          <w:rFonts w:ascii="Arial" w:cs="Arial" w:eastAsia="Arial" w:hAnsi="Arial"/>
          <w:sz w:val="24"/>
          <w:szCs w:val="24"/>
        </w:rPr>
      </w:pPr>
      <w:r>
        <w:t xml:space="preserve">Date: _____________________________________________________</w:t>
      </w:r>
    </w:p>
    <w:p>
      <w:pPr>
        <w:spacing w:after="120"/>
        <w:rPr>
          <w:rFonts w:ascii="Arial" w:cs="Arial" w:eastAsia="Arial" w:hAnsi="Arial"/>
          <w:sz w:val="24"/>
          <w:szCs w:val="24"/>
        </w:rPr>
      </w:pPr>
      <w:r>
        <w:t xml:space="preserve">Contract Type: ☐ Fixed Price (Lump Sum)   ☐ Cost Plus (Time &amp; Materials)   ☐ Guaranteed Maximum Price (GMP)</w:t>
      </w:r>
    </w:p>
    <w:p>
      <w:pPr>
        <w:spacing w:after="360"/>
        <w:rPr>
          <w:rFonts w:ascii="Arial" w:cs="Arial" w:eastAsia="Arial" w:hAnsi="Arial"/>
          <w:sz w:val="24"/>
          <w:szCs w:val="24"/>
        </w:rPr>
      </w:pPr>
      <w:r>
        <w:t xml:space="preserve">Contract Basis: ☐ AIA Standard Form   ☐ Builder's Standard Contract   ☐ Custom/Attorney-Drafted</w:t>
      </w:r>
    </w:p>
    <w:p>
      <w:pPr>
        <w:spacing w:after="120" w:before="120"/>
        <w:rPr>
          <w:rFonts w:ascii="Arial" w:cs="Arial" w:eastAsia="Arial" w:hAnsi="Arial"/>
          <w:b/>
          <w:bCs/>
          <w:sz w:val="26"/>
          <w:szCs w:val="26"/>
        </w:rPr>
      </w:pPr>
      <w:r>
        <w:t xml:space="preserve">Section 1: Scope of Work</w:t>
      </w:r>
    </w:p>
    <w:tbl>
      <w:tblPr>
        <w:tblW w:type="auto" w:w="100"/>
        <w:tblBorders>
          <w:top w:color="CCCCCC" w:sz="6"/>
          <w:left w:color="CCCCCC" w:sz="6"/>
          <w:bottom w:color="CCCCCC" w:sz="6"/>
          <w:right w:color="CCCCCC" w:sz="6"/>
          <w:insideH w:color="CCCCCC" w:sz="6"/>
          <w:insideV w:color="CCCCCC" w:sz="6"/>
        </w:tblBorders>
      </w:tblPr>
      <w:tblGrid>
        <w:gridCol w:w="100"/>
        <w:gridCol w:w="100"/>
        <w:gridCol w:w="100"/>
        <w:gridCol w:w="100"/>
      </w:tblGrid>
      <w:tr>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Item to Verify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Status</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Priority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Notes</w:t>
            </w: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Scope clearly references specific drawing set and date</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Specifications incorporated by reference</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Allowance amounts listed and defined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Exclusions explicitly stated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Site conditions responsibilities defined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Cleanup and debris removal included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Temporary facilities (toilet, dumpster, power) assigned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bl>
    <w:p>
      <w:pPr>
        <w:spacing w:after="240"/>
      </w:pPr>
    </w:p>
    <w:p>
      <w:pPr>
        <w:spacing w:after="120" w:before="120"/>
        <w:rPr>
          <w:rFonts w:ascii="Arial" w:cs="Arial" w:eastAsia="Arial" w:hAnsi="Arial"/>
          <w:b/>
          <w:bCs/>
          <w:sz w:val="26"/>
          <w:szCs w:val="26"/>
        </w:rPr>
      </w:pPr>
      <w:r>
        <w:t xml:space="preserve">Section 2: Change Order Process</w:t>
      </w:r>
    </w:p>
    <w:tbl>
      <w:tblPr>
        <w:tblW w:type="auto" w:w="100"/>
        <w:tblBorders>
          <w:top w:color="CCCCCC" w:sz="6"/>
          <w:left w:color="CCCCCC" w:sz="6"/>
          <w:bottom w:color="CCCCCC" w:sz="6"/>
          <w:right w:color="CCCCCC" w:sz="6"/>
          <w:insideH w:color="CCCCCC" w:sz="6"/>
          <w:insideV w:color="CCCCCC" w:sz="6"/>
        </w:tblBorders>
      </w:tblPr>
      <w:tblGrid>
        <w:gridCol w:w="100"/>
        <w:gridCol w:w="100"/>
        <w:gridCol w:w="100"/>
        <w:gridCol w:w="100"/>
      </w:tblGrid>
      <w:tr>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Item to Verify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Status</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Priority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Notes</w:t>
            </w: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Written change orders required before work proceeds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Markup on changes defined (labor, materials, subcontractor)</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Owner approval required above threshold amount ($_____)</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Timeline for pricing change orders specified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Dispute resolution for change order disagreements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No work performed without signed change order</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bl>
    <w:p>
      <w:pPr>
        <w:spacing w:after="240"/>
      </w:pPr>
    </w:p>
    <w:p>
      <w:pPr>
        <w:spacing w:after="120" w:before="120"/>
        <w:rPr>
          <w:rFonts w:ascii="Arial" w:cs="Arial" w:eastAsia="Arial" w:hAnsi="Arial"/>
          <w:b/>
          <w:bCs/>
          <w:sz w:val="26"/>
          <w:szCs w:val="26"/>
        </w:rPr>
      </w:pPr>
      <w:r>
        <w:t xml:space="preserve">Section 3: Payment Terms</w:t>
      </w:r>
    </w:p>
    <w:tbl>
      <w:tblPr>
        <w:tblW w:type="auto" w:w="100"/>
        <w:tblBorders>
          <w:top w:color="CCCCCC" w:sz="6"/>
          <w:left w:color="CCCCCC" w:sz="6"/>
          <w:bottom w:color="CCCCCC" w:sz="6"/>
          <w:right w:color="CCCCCC" w:sz="6"/>
          <w:insideH w:color="CCCCCC" w:sz="6"/>
          <w:insideV w:color="CCCCCC" w:sz="6"/>
        </w:tblBorders>
      </w:tblPr>
      <w:tblGrid>
        <w:gridCol w:w="100"/>
        <w:gridCol w:w="100"/>
        <w:gridCol w:w="100"/>
        <w:gridCol w:w="100"/>
      </w:tblGrid>
      <w:tr>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Item to Verify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Status</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Priority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Notes</w:t>
            </w: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Payment schedule tied to milestones (not dates)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Retainage percentage defined (typically 5-10%)</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Retainage release conditions specified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Lien waiver required with each payment application</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Right to withhold payment for deficient work</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Final payment conditions clearly defined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bl>
    <w:p>
      <w:pPr>
        <w:spacing w:after="240"/>
      </w:pPr>
    </w:p>
    <w:p>
      <w:pPr>
        <w:spacing w:after="120" w:before="120"/>
        <w:rPr>
          <w:rFonts w:ascii="Arial" w:cs="Arial" w:eastAsia="Arial" w:hAnsi="Arial"/>
          <w:b/>
          <w:bCs/>
          <w:sz w:val="26"/>
          <w:szCs w:val="26"/>
        </w:rPr>
      </w:pPr>
      <w:r>
        <w:t xml:space="preserve">Section 4: Timeline &amp; Delays</w:t>
      </w:r>
    </w:p>
    <w:tbl>
      <w:tblPr>
        <w:tblW w:type="auto" w:w="100"/>
        <w:tblBorders>
          <w:top w:color="CCCCCC" w:sz="6"/>
          <w:left w:color="CCCCCC" w:sz="6"/>
          <w:bottom w:color="CCCCCC" w:sz="6"/>
          <w:right w:color="CCCCCC" w:sz="6"/>
          <w:insideH w:color="CCCCCC" w:sz="6"/>
          <w:insideV w:color="CCCCCC" w:sz="6"/>
        </w:tblBorders>
      </w:tblPr>
      <w:tblGrid>
        <w:gridCol w:w="100"/>
        <w:gridCol w:w="100"/>
        <w:gridCol w:w="100"/>
        <w:gridCol w:w="100"/>
      </w:tblGrid>
      <w:tr>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Item to Verify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Status</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Priority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Notes</w:t>
            </w: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Substantial completion date specified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Liquidated damages for delays (if applicable)</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Force majeure / excusable delay defined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Weather day allowance reasonable for region</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Owner-caused delay provisions fair and reciprocal</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Notice requirements for delay claims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bl>
    <w:p>
      <w:pPr>
        <w:spacing w:after="240"/>
      </w:pPr>
    </w:p>
    <w:p>
      <w:pPr>
        <w:spacing w:after="120" w:before="120"/>
        <w:rPr>
          <w:rFonts w:ascii="Arial" w:cs="Arial" w:eastAsia="Arial" w:hAnsi="Arial"/>
          <w:b/>
          <w:bCs/>
          <w:sz w:val="26"/>
          <w:szCs w:val="26"/>
        </w:rPr>
      </w:pPr>
      <w:r>
        <w:t xml:space="preserve">Section 5: Warranty &amp; Quality</w:t>
      </w:r>
    </w:p>
    <w:tbl>
      <w:tblPr>
        <w:tblW w:type="auto" w:w="100"/>
        <w:tblBorders>
          <w:top w:color="CCCCCC" w:sz="6"/>
          <w:left w:color="CCCCCC" w:sz="6"/>
          <w:bottom w:color="CCCCCC" w:sz="6"/>
          <w:right w:color="CCCCCC" w:sz="6"/>
          <w:insideH w:color="CCCCCC" w:sz="6"/>
          <w:insideV w:color="CCCCCC" w:sz="6"/>
        </w:tblBorders>
      </w:tblPr>
      <w:tblGrid>
        <w:gridCol w:w="100"/>
        <w:gridCol w:w="100"/>
        <w:gridCol w:w="100"/>
        <w:gridCol w:w="100"/>
      </w:tblGrid>
      <w:tr>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Item to Verify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Status</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Priority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Notes</w:t>
            </w: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Warranty period specified (minimum 1 year workmanship)</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Warranty scope defined (what's covered and excluded)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Manufacturer warranty pass-through confirmed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Quality standards referenced (e.g., industry best practices)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Deficiency correction timeline specified</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Inspection rights preserved for owner</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bl>
    <w:p>
      <w:pPr>
        <w:spacing w:after="240"/>
      </w:pPr>
    </w:p>
    <w:p>
      <w:pPr>
        <w:spacing w:after="120" w:before="120"/>
        <w:rPr>
          <w:rFonts w:ascii="Arial" w:cs="Arial" w:eastAsia="Arial" w:hAnsi="Arial"/>
          <w:b/>
          <w:bCs/>
          <w:sz w:val="26"/>
          <w:szCs w:val="26"/>
        </w:rPr>
      </w:pPr>
      <w:r>
        <w:t xml:space="preserve">Section 6: Termination &amp; Disputes</w:t>
      </w:r>
    </w:p>
    <w:tbl>
      <w:tblPr>
        <w:tblW w:type="auto" w:w="100"/>
        <w:tblBorders>
          <w:top w:color="CCCCCC" w:sz="6"/>
          <w:left w:color="CCCCCC" w:sz="6"/>
          <w:bottom w:color="CCCCCC" w:sz="6"/>
          <w:right w:color="CCCCCC" w:sz="6"/>
          <w:insideH w:color="CCCCCC" w:sz="6"/>
          <w:insideV w:color="CCCCCC" w:sz="6"/>
        </w:tblBorders>
      </w:tblPr>
      <w:tblGrid>
        <w:gridCol w:w="100"/>
        <w:gridCol w:w="100"/>
        <w:gridCol w:w="100"/>
        <w:gridCol w:w="100"/>
      </w:tblGrid>
      <w:tr>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Item to Verify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Status</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Priority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Notes</w:t>
            </w: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Termination for cause provisions (both parties)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Termination for convenience provisions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Cure period before termination</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Dispute resolution method (mediation before arbitration/litigation)</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Attorney fee provisions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r>
              <w:t xml:space="preserve">Continuation of work during disputes</w:t>
            </w: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bl>
    <w:p>
      <w:pPr>
        <w:spacing w:after="240"/>
      </w:pPr>
    </w:p>
    <w:p>
      <w:pPr>
        <w:spacing w:after="120" w:before="120"/>
        <w:rPr>
          <w:rFonts w:ascii="Arial" w:cs="Arial" w:eastAsia="Arial" w:hAnsi="Arial"/>
          <w:b/>
          <w:bCs/>
          <w:sz w:val="26"/>
          <w:szCs w:val="26"/>
        </w:rPr>
      </w:pPr>
      <w:r>
        <w:t xml:space="preserve">Section 7: Red Flags</w:t>
      </w:r>
    </w:p>
    <w:p>
      <w:pPr>
        <w:spacing w:after="80"/>
        <w:rPr>
          <w:rFonts w:ascii="Arial" w:cs="Arial" w:eastAsia="Arial" w:hAnsi="Arial"/>
          <w:sz w:val="24"/>
          <w:szCs w:val="24"/>
        </w:rPr>
      </w:pPr>
      <w:r>
        <w:t xml:space="preserve">☐ Binding arbitration with no mediation step first</w:t>
      </w:r>
    </w:p>
    <w:p>
      <w:pPr>
        <w:spacing w:after="80"/>
        <w:rPr>
          <w:rFonts w:ascii="Arial" w:cs="Arial" w:eastAsia="Arial" w:hAnsi="Arial"/>
          <w:sz w:val="24"/>
          <w:szCs w:val="24"/>
        </w:rPr>
      </w:pPr>
      <w:r>
        <w:t xml:space="preserve">☐ Waiver of consequential damages (limits your remedies)</w:t>
      </w:r>
    </w:p>
    <w:p>
      <w:pPr>
        <w:spacing w:after="80"/>
        <w:rPr>
          <w:rFonts w:ascii="Arial" w:cs="Arial" w:eastAsia="Arial" w:hAnsi="Arial"/>
          <w:sz w:val="24"/>
          <w:szCs w:val="24"/>
        </w:rPr>
      </w:pPr>
      <w:r>
        <w:t xml:space="preserve">☐ Builder can make changes up to $X without approval</w:t>
      </w:r>
    </w:p>
    <w:p>
      <w:pPr>
        <w:spacing w:after="80"/>
        <w:rPr>
          <w:rFonts w:ascii="Arial" w:cs="Arial" w:eastAsia="Arial" w:hAnsi="Arial"/>
          <w:sz w:val="24"/>
          <w:szCs w:val="24"/>
        </w:rPr>
      </w:pPr>
      <w:r>
        <w:t xml:space="preserve">☐ Pay-when-paid provisions for subcontractors (creates lien risk)</w:t>
      </w:r>
    </w:p>
    <w:p>
      <w:pPr>
        <w:spacing w:after="80"/>
        <w:rPr>
          <w:rFonts w:ascii="Arial" w:cs="Arial" w:eastAsia="Arial" w:hAnsi="Arial"/>
          <w:sz w:val="24"/>
          <w:szCs w:val="24"/>
        </w:rPr>
      </w:pPr>
      <w:r>
        <w:t xml:space="preserve">☐ Indemnification clause is one-sided</w:t>
      </w:r>
    </w:p>
    <w:p>
      <w:pPr>
        <w:spacing w:after="80"/>
        <w:rPr>
          <w:rFonts w:ascii="Arial" w:cs="Arial" w:eastAsia="Arial" w:hAnsi="Arial"/>
          <w:sz w:val="24"/>
          <w:szCs w:val="24"/>
        </w:rPr>
      </w:pPr>
      <w:r>
        <w:t xml:space="preserve">☐ Insurance requirements are vague or absent</w:t>
      </w:r>
    </w:p>
    <w:p>
      <w:pPr>
        <w:spacing w:after="120"/>
        <w:rPr>
          <w:rFonts w:ascii="Arial" w:cs="Arial" w:eastAsia="Arial" w:hAnsi="Arial"/>
          <w:sz w:val="24"/>
          <w:szCs w:val="24"/>
        </w:rPr>
      </w:pPr>
      <w:r>
        <w:t xml:space="preserve">☐ No retainage or retainage release is automatic</w:t>
      </w:r>
    </w:p>
    <w:p>
      <w:pPr>
        <w:spacing w:after="360"/>
        <w:rPr>
          <w:rFonts w:ascii="Arial" w:cs="Arial" w:eastAsia="Arial" w:hAnsi="Arial"/>
          <w:sz w:val="24"/>
          <w:szCs w:val="24"/>
        </w:rPr>
      </w:pPr>
      <w:r>
        <w:t xml:space="preserve">Any red flag should be discussed with your attorney before signing.</w:t>
      </w:r>
    </w:p>
    <w:p>
      <w:pPr>
        <w:spacing w:after="120" w:before="120"/>
        <w:rPr>
          <w:rFonts w:ascii="Arial" w:cs="Arial" w:eastAsia="Arial" w:hAnsi="Arial"/>
          <w:b/>
          <w:bCs/>
          <w:sz w:val="26"/>
          <w:szCs w:val="26"/>
        </w:rPr>
      </w:pPr>
      <w:r>
        <w:t xml:space="preserve">Contract Negotiation Priority List</w:t>
      </w:r>
    </w:p>
    <w:tbl>
      <w:tblPr>
        <w:tblW w:type="auto" w:w="100"/>
        <w:tblBorders>
          <w:top w:color="CCCCCC" w:sz="6"/>
          <w:left w:color="CCCCCC" w:sz="6"/>
          <w:bottom w:color="CCCCCC" w:sz="6"/>
          <w:right w:color="CCCCCC" w:sz="6"/>
          <w:insideH w:color="CCCCCC" w:sz="6"/>
          <w:insideV w:color="CCCCCC" w:sz="6"/>
        </w:tblBorders>
      </w:tblPr>
      <w:tblGrid>
        <w:gridCol w:w="100"/>
        <w:gridCol w:w="100"/>
        <w:gridCol w:w="100"/>
        <w:gridCol w:w="100"/>
      </w:tblGrid>
      <w:tr>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Clause</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Current Language (Summary)</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Requested Change</w:t>
            </w:r>
          </w:p>
        </w:tc>
        <w:tc>
          <w:tcPr>
            <w:tcBorders>
              <w:top w:color="CCCCCC" w:sz="6"/>
              <w:left w:color="CCCCCC" w:sz="6"/>
              <w:bottom w:color="CCCCCC" w:sz="6"/>
              <w:right w:color="CCCCCC" w:sz="6"/>
            </w:tcBorders>
            <w:shd w:fill="D5E8F0"/>
            <w:tcMar>
              <w:top w:type="dxa" w:w="80"/>
              <w:left w:type="dxa" w:w="120"/>
              <w:bottom w:type="dxa" w:w="80"/>
              <w:right w:type="dxa" w:w="120"/>
            </w:tcMar>
          </w:tcPr>
          <w:p>
            <w:pPr>
              <w:rPr>
                <w:rFonts w:ascii="Arial" w:cs="Arial" w:eastAsia="Arial" w:hAnsi="Arial"/>
                <w:b/>
                <w:bCs/>
                <w:sz w:val="24"/>
                <w:szCs w:val="24"/>
              </w:rPr>
            </w:pPr>
            <w:r>
              <w:t xml:space="preserve">Agreed Resolution</w:t>
            </w: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r>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c>
          <w:tcPr>
            <w:tcBorders>
              <w:top w:color="CCCCCC" w:sz="6"/>
              <w:left w:color="CCCCCC" w:sz="6"/>
              <w:bottom w:color="CCCCCC" w:sz="6"/>
              <w:right w:color="CCCCCC" w:sz="6"/>
            </w:tcBorders>
            <w:tcMar>
              <w:top w:type="dxa" w:w="80"/>
              <w:left w:type="dxa" w:w="120"/>
              <w:bottom w:type="dxa" w:w="80"/>
              <w:right w:type="dxa" w:w="120"/>
            </w:tcMar>
          </w:tcPr>
          <w:p>
            <w:pPr>
              <w:rPr>
                <w:rFonts w:ascii="Arial" w:cs="Arial" w:eastAsia="Arial" w:hAnsi="Arial"/>
                <w:b w:val="false"/>
                <w:bCs w:val="false"/>
                <w:sz w:val="24"/>
                <w:szCs w:val="24"/>
              </w:rPr>
            </w:pPr>
          </w:p>
        </w:tc>
      </w:tr>
    </w:tbl>
    <w:p>
      <w:pPr>
        <w:spacing w:after="240"/>
      </w:pPr>
    </w:p>
    <w:p>
      <w:pPr>
        <w:spacing w:after="120" w:before="120"/>
        <w:rPr>
          <w:rFonts w:ascii="Arial" w:cs="Arial" w:eastAsia="Arial" w:hAnsi="Arial"/>
          <w:b/>
          <w:bCs/>
          <w:sz w:val="26"/>
          <w:szCs w:val="26"/>
        </w:rPr>
      </w:pPr>
      <w:r>
        <w:t xml:space="preserve">Next Steps</w:t>
      </w:r>
    </w:p>
    <w:p>
      <w:pPr>
        <w:spacing w:after="80"/>
        <w:rPr>
          <w:rFonts w:ascii="Arial" w:cs="Arial" w:eastAsia="Arial" w:hAnsi="Arial"/>
          <w:sz w:val="24"/>
          <w:szCs w:val="24"/>
        </w:rPr>
      </w:pPr>
      <w:r>
        <w:t xml:space="preserve">1. Complete this checklist with your attorney, identifying all items that need negotiation.</w:t>
      </w:r>
    </w:p>
    <w:p>
      <w:pPr>
        <w:spacing w:after="80"/>
        <w:rPr>
          <w:rFonts w:ascii="Arial" w:cs="Arial" w:eastAsia="Arial" w:hAnsi="Arial"/>
          <w:sz w:val="24"/>
          <w:szCs w:val="24"/>
        </w:rPr>
      </w:pPr>
      <w:r>
        <w:t xml:space="preserve">2. Prioritize negotiation items. Focus first on major terms (scope, price, timeline, payment) before minor details.</w:t>
      </w:r>
    </w:p>
    <w:p>
      <w:pPr>
        <w:spacing w:after="80"/>
        <w:rPr>
          <w:rFonts w:ascii="Arial" w:cs="Arial" w:eastAsia="Arial" w:hAnsi="Arial"/>
          <w:sz w:val="24"/>
          <w:szCs w:val="24"/>
        </w:rPr>
      </w:pPr>
      <w:r>
        <w:t xml:space="preserve">3. Address all red flags. Work with your attorney to modify or delete problematic clauses.</w:t>
      </w:r>
    </w:p>
    <w:p>
      <w:pPr>
        <w:spacing w:after="80"/>
        <w:rPr>
          <w:rFonts w:ascii="Arial" w:cs="Arial" w:eastAsia="Arial" w:hAnsi="Arial"/>
          <w:sz w:val="24"/>
          <w:szCs w:val="24"/>
        </w:rPr>
      </w:pPr>
      <w:r>
        <w:t xml:space="preserve">4. Obtain written responses from the builder to all negotiation requests before signing.</w:t>
      </w:r>
    </w:p>
    <w:p>
      <w:pPr>
        <w:spacing w:after="240"/>
        <w:rPr>
          <w:rFonts w:ascii="Arial" w:cs="Arial" w:eastAsia="Arial" w:hAnsi="Arial"/>
          <w:sz w:val="24"/>
          <w:szCs w:val="24"/>
        </w:rPr>
      </w:pPr>
      <w:r>
        <w:t xml:space="preserve">5. Only after all revisions are agreed and incorporated into the final contract should you sign.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2026-04-08T16:06:07.375Z</dcterms:created>
  <dcterms:modified xsi:type="dcterms:W3CDTF">2026-04-08T16:06:07.375Z</dcterms:modified>
</cp:coreProperties>
</file>

<file path=docProps/custom.xml><?xml version="1.0" encoding="utf-8"?>
<Properties xmlns="http://schemas.openxmlformats.org/officeDocument/2006/custom-properties" xmlns:vt="http://schemas.openxmlformats.org/officeDocument/2006/docPropsVTypes"/>
</file>